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C2" w:rsidRPr="004252F9" w:rsidRDefault="00EE08A6" w:rsidP="00C143DD">
      <w:pPr>
        <w:pStyle w:val="Heading1"/>
        <w:spacing w:after="240"/>
        <w:rPr>
          <w:caps w:val="0"/>
        </w:rPr>
      </w:pPr>
      <w:r w:rsidRPr="004252F9">
        <w:rPr>
          <w:rStyle w:val="Heading1Char"/>
          <w:caps/>
        </w:rPr>
        <w:t>OSHA COVID-1</w:t>
      </w:r>
      <w:r w:rsidR="00600E82">
        <w:rPr>
          <w:rStyle w:val="Heading1Char"/>
          <w:caps/>
        </w:rPr>
        <w:t>9 Vaccination and Testing ETS</w:t>
      </w:r>
      <w:r w:rsidR="00600E82">
        <w:rPr>
          <w:rStyle w:val="Heading1Char"/>
          <w:caps/>
        </w:rPr>
        <w:br/>
      </w:r>
      <w:r w:rsidR="00600E82">
        <w:rPr>
          <w:rStyle w:val="Heading1Char"/>
          <w:caps/>
          <w:color w:val="5F6466" w:themeColor="text1"/>
        </w:rPr>
        <w:t xml:space="preserve">VACCINATION </w:t>
      </w:r>
      <w:r w:rsidR="00600E82" w:rsidRPr="00600E82">
        <w:rPr>
          <w:rStyle w:val="Heading1Char"/>
          <w:caps/>
          <w:color w:val="5F6466" w:themeColor="text1"/>
        </w:rPr>
        <w:t>Mandate</w:t>
      </w:r>
      <w:r w:rsidR="00600E82">
        <w:rPr>
          <w:rStyle w:val="Heading1Char"/>
          <w:caps/>
          <w:color w:val="5F6466" w:themeColor="text1"/>
        </w:rPr>
        <w:t>D By EMPLOYER</w:t>
      </w:r>
      <w:r w:rsidRPr="00600E82">
        <w:rPr>
          <w:rStyle w:val="Heading1Char"/>
          <w:caps/>
          <w:color w:val="5F6466" w:themeColor="text1"/>
        </w:rPr>
        <w:t xml:space="preserve"> </w:t>
      </w:r>
    </w:p>
    <w:p w:rsidR="00EE08A6" w:rsidRPr="00FA7837" w:rsidRDefault="00EE08A6" w:rsidP="00D7713A">
      <w:pPr>
        <w:spacing w:line="240" w:lineRule="auto"/>
        <w:rPr>
          <w:i/>
        </w:rPr>
      </w:pPr>
      <w:r w:rsidRPr="00FA7837">
        <w:rPr>
          <w:i/>
        </w:rPr>
        <w:t xml:space="preserve">(This template has been drafted for employers who have </w:t>
      </w:r>
      <w:r w:rsidRPr="00344F73">
        <w:rPr>
          <w:b/>
          <w:i/>
        </w:rPr>
        <w:t>decided to mandate</w:t>
      </w:r>
      <w:r w:rsidRPr="00FA7837">
        <w:rPr>
          <w:i/>
        </w:rPr>
        <w:t xml:space="preserve"> that employees receive the COVID-19 vaccine as a condition of employment.  This template should be edited/revised/utilized at the employer’s discretion and should be reviewed by their legal counsel to ensure they are meeting all of the legal requirements of the</w:t>
      </w:r>
      <w:r>
        <w:rPr>
          <w:i/>
        </w:rPr>
        <w:t xml:space="preserve"> OHSA COVID-19 Vaccination and Testing ETS</w:t>
      </w:r>
      <w:r w:rsidRPr="00FA7837">
        <w:rPr>
          <w:i/>
        </w:rPr>
        <w:t xml:space="preserve">) </w:t>
      </w:r>
    </w:p>
    <w:p w:rsidR="00EE08A6" w:rsidRDefault="00EE08A6" w:rsidP="00D7713A">
      <w:pPr>
        <w:spacing w:line="240" w:lineRule="auto"/>
      </w:pPr>
    </w:p>
    <w:p w:rsidR="00EE08A6" w:rsidRPr="00D62464" w:rsidRDefault="00D7713A" w:rsidP="00EE08A6">
      <w:pPr>
        <w:rPr>
          <w:b/>
        </w:rPr>
      </w:pPr>
      <w:r>
        <w:rPr>
          <w:b/>
        </w:rPr>
        <w:t>Employees</w:t>
      </w:r>
    </w:p>
    <w:p w:rsidR="00EE08A6" w:rsidRPr="00EE08A6" w:rsidRDefault="00EE08A6" w:rsidP="00EE08A6">
      <w:pPr>
        <w:rPr>
          <w:rFonts w:cstheme="minorHAnsi"/>
        </w:rPr>
      </w:pPr>
      <w:r w:rsidRPr="00EE08A6">
        <w:rPr>
          <w:rFonts w:cstheme="minorHAnsi"/>
        </w:rPr>
        <w:t xml:space="preserve">Recently the Occupational Health and Safety Administration (OSHA) released an emergency temporary standard (ETS) requiring private employers who employ 100 or more people implement a COVID-19 vaccination standard for employees.  Our team has reviewed the rule and we have decided to implement a vaccine mandate for our employees.  </w:t>
      </w:r>
    </w:p>
    <w:p w:rsidR="00EE08A6" w:rsidRPr="00EE08A6" w:rsidRDefault="00EE08A6" w:rsidP="00EE08A6">
      <w:pPr>
        <w:rPr>
          <w:rFonts w:cstheme="minorHAnsi"/>
        </w:rPr>
      </w:pPr>
      <w:r w:rsidRPr="00EE08A6">
        <w:rPr>
          <w:rFonts w:cstheme="minorHAnsi"/>
        </w:rPr>
        <w:t xml:space="preserve">What follows is a rundown of how we will implement this mandate: </w:t>
      </w:r>
    </w:p>
    <w:p w:rsidR="00EE08A6" w:rsidRPr="00EE08A6" w:rsidRDefault="00EE08A6" w:rsidP="00EE08A6">
      <w:pPr>
        <w:pStyle w:val="ListParagraph"/>
        <w:numPr>
          <w:ilvl w:val="0"/>
          <w:numId w:val="26"/>
        </w:numPr>
        <w:spacing w:after="160" w:line="259" w:lineRule="auto"/>
        <w:rPr>
          <w:rFonts w:asciiTheme="minorHAnsi" w:hAnsiTheme="minorHAnsi" w:cstheme="minorHAnsi"/>
          <w:sz w:val="22"/>
          <w:szCs w:val="22"/>
        </w:rPr>
      </w:pPr>
      <w:r w:rsidRPr="00D35EA3">
        <w:rPr>
          <w:rFonts w:asciiTheme="minorHAnsi" w:hAnsiTheme="minorHAnsi" w:cstheme="minorHAnsi"/>
          <w:b/>
          <w:i/>
          <w:color w:val="232F84" w:themeColor="text2"/>
          <w:sz w:val="22"/>
          <w:szCs w:val="22"/>
        </w:rPr>
        <w:t>Vaccinated employees:</w:t>
      </w:r>
      <w:r w:rsidRPr="00EE08A6">
        <w:rPr>
          <w:rFonts w:asciiTheme="minorHAnsi" w:hAnsiTheme="minorHAnsi" w:cstheme="minorHAnsi"/>
          <w:sz w:val="22"/>
          <w:szCs w:val="22"/>
        </w:rPr>
        <w:t xml:space="preserve">  Employees who are already fully vaccinated should submit their vaccinated records to [INSERT DETAILS ON LOGISTICS OF SUBMITTING RECORDS] </w:t>
      </w:r>
    </w:p>
    <w:p w:rsidR="00EE08A6" w:rsidRPr="00EE08A6" w:rsidRDefault="00EE08A6" w:rsidP="00EE08A6">
      <w:pPr>
        <w:pStyle w:val="ListParagraph"/>
        <w:ind w:left="2160"/>
        <w:rPr>
          <w:rFonts w:asciiTheme="minorHAnsi" w:hAnsiTheme="minorHAnsi" w:cstheme="minorHAnsi"/>
          <w:b/>
          <w:i/>
          <w:sz w:val="22"/>
          <w:szCs w:val="22"/>
        </w:rPr>
      </w:pPr>
    </w:p>
    <w:p w:rsidR="00EE08A6" w:rsidRPr="00D35EA3" w:rsidRDefault="00EE08A6" w:rsidP="00EE08A6">
      <w:pPr>
        <w:pStyle w:val="ListParagraph"/>
        <w:ind w:left="1080"/>
        <w:rPr>
          <w:rFonts w:asciiTheme="minorHAnsi" w:hAnsiTheme="minorHAnsi" w:cstheme="minorHAnsi"/>
          <w:b/>
          <w:color w:val="232F84" w:themeColor="text2"/>
          <w:sz w:val="22"/>
          <w:szCs w:val="22"/>
        </w:rPr>
      </w:pPr>
      <w:r w:rsidRPr="00D35EA3">
        <w:rPr>
          <w:rFonts w:asciiTheme="minorHAnsi" w:hAnsiTheme="minorHAnsi" w:cstheme="minorHAnsi"/>
          <w:b/>
          <w:color w:val="232F84" w:themeColor="text2"/>
          <w:sz w:val="22"/>
          <w:szCs w:val="22"/>
        </w:rPr>
        <w:t>Acceptable Proof of Vaccination:</w:t>
      </w:r>
    </w:p>
    <w:p w:rsidR="00EE08A6" w:rsidRPr="00EE08A6" w:rsidRDefault="00EE08A6" w:rsidP="00EE08A6">
      <w:pPr>
        <w:pStyle w:val="ListParagraph"/>
        <w:numPr>
          <w:ilvl w:val="1"/>
          <w:numId w:val="26"/>
        </w:numPr>
        <w:spacing w:after="160" w:line="259" w:lineRule="auto"/>
        <w:rPr>
          <w:rFonts w:asciiTheme="minorHAnsi" w:hAnsiTheme="minorHAnsi" w:cstheme="minorHAnsi"/>
          <w:sz w:val="22"/>
          <w:szCs w:val="22"/>
        </w:rPr>
      </w:pPr>
      <w:r w:rsidRPr="00EE08A6">
        <w:rPr>
          <w:rFonts w:asciiTheme="minorHAnsi" w:hAnsiTheme="minorHAnsi" w:cstheme="minorHAnsi"/>
          <w:sz w:val="22"/>
          <w:szCs w:val="22"/>
        </w:rPr>
        <w:t>Original record of vaccination</w:t>
      </w:r>
    </w:p>
    <w:p w:rsidR="00EE08A6" w:rsidRPr="00EE08A6" w:rsidRDefault="00EE08A6" w:rsidP="00EE08A6">
      <w:pPr>
        <w:pStyle w:val="ListParagraph"/>
        <w:numPr>
          <w:ilvl w:val="1"/>
          <w:numId w:val="26"/>
        </w:numPr>
        <w:spacing w:after="160" w:line="259" w:lineRule="auto"/>
        <w:rPr>
          <w:rFonts w:asciiTheme="minorHAnsi" w:hAnsiTheme="minorHAnsi" w:cstheme="minorHAnsi"/>
          <w:sz w:val="22"/>
          <w:szCs w:val="22"/>
        </w:rPr>
      </w:pPr>
      <w:r w:rsidRPr="00EE08A6">
        <w:rPr>
          <w:rFonts w:asciiTheme="minorHAnsi" w:hAnsiTheme="minorHAnsi" w:cstheme="minorHAnsi"/>
          <w:sz w:val="22"/>
          <w:szCs w:val="22"/>
        </w:rPr>
        <w:t>Copy of Vaccination record card</w:t>
      </w:r>
    </w:p>
    <w:p w:rsidR="00EE08A6" w:rsidRPr="00EE08A6" w:rsidRDefault="00EE08A6" w:rsidP="00EE08A6">
      <w:pPr>
        <w:pStyle w:val="ListParagraph"/>
        <w:numPr>
          <w:ilvl w:val="1"/>
          <w:numId w:val="26"/>
        </w:numPr>
        <w:spacing w:after="160" w:line="259" w:lineRule="auto"/>
        <w:rPr>
          <w:rFonts w:asciiTheme="minorHAnsi" w:hAnsiTheme="minorHAnsi" w:cstheme="minorHAnsi"/>
          <w:sz w:val="22"/>
          <w:szCs w:val="22"/>
        </w:rPr>
      </w:pPr>
      <w:r w:rsidRPr="00EE08A6">
        <w:rPr>
          <w:rFonts w:asciiTheme="minorHAnsi" w:hAnsiTheme="minorHAnsi" w:cstheme="minorHAnsi"/>
          <w:sz w:val="22"/>
          <w:szCs w:val="22"/>
        </w:rPr>
        <w:t>Copy of Medical records documenting vaccination</w:t>
      </w:r>
    </w:p>
    <w:p w:rsidR="00EE08A6" w:rsidRPr="00EE08A6" w:rsidRDefault="00EE08A6" w:rsidP="00EE08A6">
      <w:pPr>
        <w:pStyle w:val="ListParagraph"/>
        <w:numPr>
          <w:ilvl w:val="1"/>
          <w:numId w:val="26"/>
        </w:numPr>
        <w:spacing w:after="160" w:line="259" w:lineRule="auto"/>
        <w:rPr>
          <w:rFonts w:asciiTheme="minorHAnsi" w:hAnsiTheme="minorHAnsi" w:cstheme="minorHAnsi"/>
          <w:sz w:val="22"/>
          <w:szCs w:val="22"/>
        </w:rPr>
      </w:pPr>
      <w:r w:rsidRPr="00EE08A6">
        <w:rPr>
          <w:rFonts w:asciiTheme="minorHAnsi" w:hAnsiTheme="minorHAnsi" w:cstheme="minorHAnsi"/>
          <w:sz w:val="22"/>
          <w:szCs w:val="22"/>
        </w:rPr>
        <w:t>Official document that contains vaccination type, date and name of provider</w:t>
      </w:r>
    </w:p>
    <w:p w:rsidR="00EE08A6" w:rsidRPr="00EE08A6" w:rsidRDefault="00EE08A6" w:rsidP="00EE08A6">
      <w:pPr>
        <w:pStyle w:val="ListParagraph"/>
        <w:numPr>
          <w:ilvl w:val="1"/>
          <w:numId w:val="26"/>
        </w:numPr>
        <w:spacing w:after="160" w:line="259" w:lineRule="auto"/>
        <w:rPr>
          <w:rFonts w:asciiTheme="minorHAnsi" w:hAnsiTheme="minorHAnsi" w:cstheme="minorHAnsi"/>
          <w:sz w:val="22"/>
          <w:szCs w:val="22"/>
        </w:rPr>
      </w:pPr>
      <w:r w:rsidRPr="00EE08A6">
        <w:rPr>
          <w:rFonts w:asciiTheme="minorHAnsi" w:hAnsiTheme="minorHAnsi" w:cstheme="minorHAnsi"/>
          <w:sz w:val="22"/>
          <w:szCs w:val="22"/>
        </w:rPr>
        <w:t>Statement attesting to vaccination including specifics on vaccination**</w:t>
      </w:r>
    </w:p>
    <w:p w:rsidR="00EE08A6" w:rsidRPr="00EE08A6" w:rsidRDefault="00EE08A6" w:rsidP="00EE08A6">
      <w:pPr>
        <w:pStyle w:val="ListParagraph"/>
        <w:numPr>
          <w:ilvl w:val="2"/>
          <w:numId w:val="26"/>
        </w:numPr>
        <w:spacing w:after="160" w:line="259" w:lineRule="auto"/>
        <w:rPr>
          <w:rFonts w:asciiTheme="minorHAnsi" w:hAnsiTheme="minorHAnsi" w:cstheme="minorHAnsi"/>
          <w:sz w:val="22"/>
          <w:szCs w:val="22"/>
        </w:rPr>
      </w:pPr>
      <w:r w:rsidRPr="00EE08A6">
        <w:rPr>
          <w:rFonts w:asciiTheme="minorHAnsi" w:hAnsiTheme="minorHAnsi" w:cstheme="minorHAnsi"/>
          <w:sz w:val="22"/>
          <w:szCs w:val="22"/>
        </w:rPr>
        <w:t>**Penalties will apply for false attestations</w:t>
      </w:r>
    </w:p>
    <w:p w:rsidR="00EE08A6" w:rsidRPr="00EE08A6" w:rsidRDefault="00EE08A6" w:rsidP="00EE08A6">
      <w:pPr>
        <w:pStyle w:val="ListParagraph"/>
        <w:ind w:left="1440"/>
        <w:rPr>
          <w:rFonts w:asciiTheme="minorHAnsi" w:hAnsiTheme="minorHAnsi" w:cstheme="minorHAnsi"/>
          <w:sz w:val="22"/>
          <w:szCs w:val="22"/>
        </w:rPr>
      </w:pPr>
    </w:p>
    <w:p w:rsidR="00EE08A6" w:rsidRPr="00EE08A6" w:rsidRDefault="00EE08A6" w:rsidP="00EE08A6">
      <w:pPr>
        <w:pStyle w:val="ListParagraph"/>
        <w:numPr>
          <w:ilvl w:val="0"/>
          <w:numId w:val="26"/>
        </w:numPr>
        <w:spacing w:after="160" w:line="259" w:lineRule="auto"/>
        <w:rPr>
          <w:rFonts w:asciiTheme="minorHAnsi" w:hAnsiTheme="minorHAnsi" w:cstheme="minorHAnsi"/>
          <w:sz w:val="22"/>
          <w:szCs w:val="22"/>
        </w:rPr>
      </w:pPr>
      <w:r w:rsidRPr="00D35EA3">
        <w:rPr>
          <w:rFonts w:asciiTheme="minorHAnsi" w:hAnsiTheme="minorHAnsi" w:cstheme="minorHAnsi"/>
          <w:b/>
          <w:i/>
          <w:color w:val="232F84" w:themeColor="text2"/>
          <w:sz w:val="22"/>
          <w:szCs w:val="22"/>
        </w:rPr>
        <w:t>Partially vaccinated employees</w:t>
      </w:r>
      <w:r w:rsidRPr="00D35EA3">
        <w:rPr>
          <w:rFonts w:asciiTheme="minorHAnsi" w:hAnsiTheme="minorHAnsi" w:cstheme="minorHAnsi"/>
          <w:color w:val="232F84" w:themeColor="text2"/>
          <w:sz w:val="22"/>
          <w:szCs w:val="22"/>
        </w:rPr>
        <w:t>:</w:t>
      </w:r>
      <w:r w:rsidRPr="00EE08A6">
        <w:rPr>
          <w:rFonts w:asciiTheme="minorHAnsi" w:hAnsiTheme="minorHAnsi" w:cstheme="minorHAnsi"/>
          <w:sz w:val="22"/>
          <w:szCs w:val="22"/>
        </w:rPr>
        <w:t xml:space="preserve">  Employees who are in the process of being vaccinated should complete their vaccination series and follow the process that vaccinated employees are using. </w:t>
      </w:r>
    </w:p>
    <w:p w:rsidR="00EE08A6" w:rsidRPr="00EE08A6" w:rsidRDefault="00EE08A6" w:rsidP="00D7713A">
      <w:pPr>
        <w:pStyle w:val="ListParagraph"/>
        <w:numPr>
          <w:ilvl w:val="0"/>
          <w:numId w:val="26"/>
        </w:numPr>
        <w:spacing w:after="160"/>
        <w:rPr>
          <w:rFonts w:asciiTheme="minorHAnsi" w:hAnsiTheme="minorHAnsi" w:cstheme="minorHAnsi"/>
          <w:sz w:val="22"/>
          <w:szCs w:val="22"/>
        </w:rPr>
      </w:pPr>
      <w:r w:rsidRPr="00D35EA3">
        <w:rPr>
          <w:rFonts w:asciiTheme="minorHAnsi" w:hAnsiTheme="minorHAnsi" w:cstheme="minorHAnsi"/>
          <w:b/>
          <w:i/>
          <w:color w:val="232F84" w:themeColor="text2"/>
          <w:sz w:val="22"/>
          <w:szCs w:val="22"/>
        </w:rPr>
        <w:t>Unvaccinated employees</w:t>
      </w:r>
      <w:r w:rsidRPr="00EE08A6">
        <w:rPr>
          <w:rFonts w:asciiTheme="minorHAnsi" w:hAnsiTheme="minorHAnsi" w:cstheme="minorHAnsi"/>
          <w:b/>
          <w:i/>
          <w:sz w:val="22"/>
          <w:szCs w:val="22"/>
        </w:rPr>
        <w:t>:</w:t>
      </w:r>
      <w:r w:rsidRPr="00EE08A6">
        <w:rPr>
          <w:rFonts w:asciiTheme="minorHAnsi" w:hAnsiTheme="minorHAnsi" w:cstheme="minorHAnsi"/>
          <w:sz w:val="22"/>
          <w:szCs w:val="22"/>
        </w:rPr>
        <w:t xml:space="preserve">  Those who are unvaccinated must be fully vaccinated by January 4, 2022 or have an approved exemption to being vaccinated.  </w:t>
      </w:r>
      <w:bookmarkStart w:id="0" w:name="_GoBack"/>
    </w:p>
    <w:p w:rsidR="00324FCD" w:rsidRDefault="00324FCD" w:rsidP="00D7713A">
      <w:pPr>
        <w:spacing w:line="240" w:lineRule="auto"/>
        <w:rPr>
          <w:rFonts w:ascii="Calibri" w:eastAsiaTheme="minorEastAsia" w:hAnsi="Calibri"/>
          <w:b/>
          <w:bCs/>
          <w:kern w:val="24"/>
          <w:sz w:val="24"/>
          <w:szCs w:val="24"/>
        </w:rPr>
      </w:pPr>
    </w:p>
    <w:bookmarkEnd w:id="0"/>
    <w:p w:rsidR="00EE08A6" w:rsidRDefault="00EE08A6" w:rsidP="00324FCD">
      <w:pPr>
        <w:pStyle w:val="Heading2"/>
      </w:pPr>
      <w:r w:rsidRPr="00227A94">
        <w:t>IMPORTANT INFORMATION</w:t>
      </w:r>
    </w:p>
    <w:p w:rsidR="00EE08A6" w:rsidRPr="00D7713A" w:rsidRDefault="00EE08A6" w:rsidP="00D7713A">
      <w:pPr>
        <w:pStyle w:val="List"/>
        <w:rPr>
          <w:rFonts w:cstheme="minorHAnsi"/>
        </w:rPr>
      </w:pPr>
      <w:r w:rsidRPr="00D35EA3">
        <w:rPr>
          <w:rFonts w:cstheme="minorHAnsi"/>
          <w:b/>
          <w:i/>
          <w:color w:val="232F84" w:themeColor="text2"/>
        </w:rPr>
        <w:t>Vaccination cost:</w:t>
      </w:r>
      <w:r w:rsidRPr="00D35EA3">
        <w:rPr>
          <w:rFonts w:cstheme="minorHAnsi"/>
          <w:color w:val="232F84" w:themeColor="text2"/>
        </w:rPr>
        <w:t xml:space="preserve"> </w:t>
      </w:r>
      <w:r w:rsidRPr="00EE08A6">
        <w:rPr>
          <w:rFonts w:cstheme="minorHAnsi"/>
        </w:rPr>
        <w:t xml:space="preserve"> </w:t>
      </w:r>
      <w:r w:rsidRPr="00D35EA3">
        <w:t>Vaccines</w:t>
      </w:r>
      <w:r w:rsidRPr="00EE08A6">
        <w:rPr>
          <w:rFonts w:cstheme="minorHAnsi"/>
        </w:rPr>
        <w:t xml:space="preserve"> are available to the public at no cost.  If you have health insurance, you should present your card at the time of vaccination.  If you do not have health coverage, a provider must offer you the vaccination at no cost to you.  </w:t>
      </w:r>
    </w:p>
    <w:p w:rsidR="00EE08A6" w:rsidRPr="00EE08A6" w:rsidRDefault="00EE08A6" w:rsidP="00D35EA3">
      <w:pPr>
        <w:pStyle w:val="List"/>
        <w:rPr>
          <w:rFonts w:cstheme="minorHAnsi"/>
        </w:rPr>
      </w:pPr>
      <w:r w:rsidRPr="00D35EA3">
        <w:rPr>
          <w:rFonts w:cstheme="minorHAnsi"/>
          <w:b/>
          <w:i/>
          <w:color w:val="232F84" w:themeColor="text2"/>
        </w:rPr>
        <w:t>Paid time off:</w:t>
      </w:r>
      <w:r w:rsidRPr="00D35EA3">
        <w:rPr>
          <w:rFonts w:cstheme="minorHAnsi"/>
          <w:color w:val="232F84" w:themeColor="text2"/>
        </w:rPr>
        <w:t xml:space="preserve"> </w:t>
      </w:r>
      <w:r w:rsidRPr="00EE08A6">
        <w:rPr>
          <w:rFonts w:cstheme="minorHAnsi"/>
        </w:rPr>
        <w:t xml:space="preserve"> If </w:t>
      </w:r>
      <w:r w:rsidRPr="00D35EA3">
        <w:t>you</w:t>
      </w:r>
      <w:r w:rsidRPr="00EE08A6">
        <w:rPr>
          <w:rFonts w:cstheme="minorHAnsi"/>
        </w:rPr>
        <w:t xml:space="preserve"> get vaccinated during work hours, you will be paid for your time to receive the vaccine.  In addition, you may use your employer provided paid leave for purposes of recovering from vaccination side effects. </w:t>
      </w:r>
    </w:p>
    <w:p w:rsidR="00EE08A6" w:rsidRDefault="00EE08A6" w:rsidP="00D35EA3">
      <w:pPr>
        <w:pStyle w:val="List"/>
        <w:rPr>
          <w:rFonts w:cstheme="minorHAnsi"/>
        </w:rPr>
      </w:pPr>
      <w:r w:rsidRPr="00D35EA3">
        <w:rPr>
          <w:rFonts w:cstheme="minorHAnsi"/>
          <w:b/>
          <w:i/>
          <w:color w:val="232F84" w:themeColor="text2"/>
        </w:rPr>
        <w:t>Exemptions:</w:t>
      </w:r>
      <w:r w:rsidRPr="00D35EA3">
        <w:rPr>
          <w:rFonts w:cstheme="minorHAnsi"/>
          <w:color w:val="232F84" w:themeColor="text2"/>
        </w:rPr>
        <w:t xml:space="preserve"> </w:t>
      </w:r>
      <w:r w:rsidRPr="00EE08A6">
        <w:rPr>
          <w:rFonts w:cstheme="minorHAnsi"/>
        </w:rPr>
        <w:t xml:space="preserve"> Those who have a medical condition that does not allow them to become vaccinated or have a sincerely held religious belief that prevents vaccination will need to fill out an exemption form.  This will exempt them from vaccination, however they will need to be tested weekly for COVID-19 and wear a face covering while at work.  Please contact [EMPLOYER CONTACT] for a request form.</w:t>
      </w:r>
    </w:p>
    <w:p w:rsidR="00D35EA3" w:rsidRPr="00EE08A6" w:rsidRDefault="00D35EA3" w:rsidP="00D35EA3">
      <w:pPr>
        <w:pStyle w:val="List"/>
        <w:numPr>
          <w:ilvl w:val="0"/>
          <w:numId w:val="0"/>
        </w:numPr>
        <w:ind w:left="720"/>
        <w:rPr>
          <w:rFonts w:cstheme="minorHAnsi"/>
        </w:rPr>
      </w:pPr>
    </w:p>
    <w:p w:rsidR="00EE08A6" w:rsidRPr="00EE08A6" w:rsidRDefault="00EE08A6" w:rsidP="00EE08A6">
      <w:pPr>
        <w:rPr>
          <w:rFonts w:cstheme="minorHAnsi"/>
        </w:rPr>
      </w:pPr>
      <w:r w:rsidRPr="00EE08A6">
        <w:rPr>
          <w:rFonts w:cstheme="minorHAnsi"/>
        </w:rPr>
        <w:t xml:space="preserve">Regardless of your vaccination status, we are putting the following procedures in place in the event of a positive COVID-19 test or diagnosis:  </w:t>
      </w:r>
    </w:p>
    <w:p w:rsidR="00EE08A6" w:rsidRDefault="00EE08A6" w:rsidP="00EE08A6">
      <w:r w:rsidRPr="00714353">
        <w:rPr>
          <w:b/>
          <w:bCs/>
          <w:i/>
          <w:iCs/>
          <w:u w:val="single"/>
        </w:rPr>
        <w:t>Employees are required</w:t>
      </w:r>
      <w:r>
        <w:rPr>
          <w:b/>
          <w:bCs/>
          <w:i/>
          <w:iCs/>
          <w:u w:val="single"/>
        </w:rPr>
        <w:t xml:space="preserve"> to promptly notify [EMPLOYER CONTACT]</w:t>
      </w:r>
      <w:r w:rsidRPr="00714353">
        <w:rPr>
          <w:b/>
          <w:bCs/>
          <w:i/>
          <w:iCs/>
          <w:u w:val="single"/>
        </w:rPr>
        <w:t xml:space="preserve"> of a positive COVID-19 test result or diagnosis.</w:t>
      </w:r>
      <w:r>
        <w:rPr>
          <w:b/>
          <w:bCs/>
          <w:i/>
          <w:iCs/>
          <w:u w:val="single"/>
        </w:rPr>
        <w:t xml:space="preserve">  This should be done as soon as possible, preferably before starting a shift or workday.</w:t>
      </w:r>
    </w:p>
    <w:p w:rsidR="00EE08A6" w:rsidRPr="00EE08A6" w:rsidRDefault="00EE08A6" w:rsidP="00EE08A6">
      <w:pPr>
        <w:rPr>
          <w:rFonts w:ascii="Calibri" w:hAnsi="Calibri" w:cs="Calibri"/>
        </w:rPr>
      </w:pPr>
      <w:r w:rsidRPr="00EE08A6">
        <w:rPr>
          <w:rFonts w:ascii="Calibri" w:hAnsi="Calibri" w:cs="Calibri"/>
        </w:rPr>
        <w:t>Employees must stay removed from the workplace until:</w:t>
      </w:r>
    </w:p>
    <w:p w:rsidR="00EE08A6" w:rsidRPr="00EE08A6" w:rsidRDefault="00EE08A6" w:rsidP="00D35EA3">
      <w:pPr>
        <w:pStyle w:val="List"/>
        <w:rPr>
          <w:rFonts w:ascii="Calibri" w:hAnsi="Calibri" w:cs="Calibri"/>
        </w:rPr>
      </w:pPr>
      <w:r w:rsidRPr="00EE08A6">
        <w:rPr>
          <w:rFonts w:ascii="Calibri" w:hAnsi="Calibri" w:cs="Calibri"/>
        </w:rPr>
        <w:t xml:space="preserve">You </w:t>
      </w:r>
      <w:r w:rsidRPr="00D35EA3">
        <w:t>receive</w:t>
      </w:r>
      <w:r w:rsidRPr="00EE08A6">
        <w:rPr>
          <w:rFonts w:ascii="Calibri" w:hAnsi="Calibri" w:cs="Calibri"/>
        </w:rPr>
        <w:t xml:space="preserve"> a negative result on a COVID-19 nucleic acid amplification test (NAAT) following a positive result on a COVID-19 antigen test if you choose to seek a NAAT test for confirmatory testing;</w:t>
      </w:r>
    </w:p>
    <w:p w:rsidR="00EE08A6" w:rsidRPr="00EE08A6" w:rsidRDefault="00EE08A6" w:rsidP="00D35EA3">
      <w:pPr>
        <w:pStyle w:val="List"/>
        <w:rPr>
          <w:rFonts w:ascii="Calibri" w:hAnsi="Calibri" w:cs="Calibri"/>
        </w:rPr>
      </w:pPr>
      <w:r w:rsidRPr="00EE08A6">
        <w:rPr>
          <w:rFonts w:ascii="Calibri" w:hAnsi="Calibri" w:cs="Calibri"/>
        </w:rPr>
        <w:t xml:space="preserve">You </w:t>
      </w:r>
      <w:r w:rsidRPr="00D35EA3">
        <w:t>meet</w:t>
      </w:r>
      <w:r w:rsidRPr="00EE08A6">
        <w:rPr>
          <w:rFonts w:ascii="Calibri" w:hAnsi="Calibri" w:cs="Calibri"/>
        </w:rPr>
        <w:t xml:space="preserve"> the return to work criteria in CDC’s “Isolation Guidance” (incorporated by reference, § 1910.509); or</w:t>
      </w:r>
    </w:p>
    <w:p w:rsidR="00EE08A6" w:rsidRPr="00EE08A6" w:rsidRDefault="00EE08A6" w:rsidP="00D35EA3">
      <w:pPr>
        <w:pStyle w:val="List"/>
        <w:rPr>
          <w:rFonts w:ascii="Calibri" w:hAnsi="Calibri" w:cs="Calibri"/>
        </w:rPr>
      </w:pPr>
      <w:r w:rsidRPr="00EE08A6">
        <w:rPr>
          <w:rFonts w:ascii="Calibri" w:hAnsi="Calibri" w:cs="Calibri"/>
        </w:rPr>
        <w:t xml:space="preserve">You </w:t>
      </w:r>
      <w:r w:rsidRPr="00D35EA3">
        <w:t>receive</w:t>
      </w:r>
      <w:r w:rsidRPr="00EE08A6">
        <w:rPr>
          <w:rFonts w:ascii="Calibri" w:hAnsi="Calibri" w:cs="Calibri"/>
        </w:rPr>
        <w:t xml:space="preserve"> a recommendation to return to work from a licensed healthcare provider.</w:t>
      </w:r>
    </w:p>
    <w:p w:rsidR="00EE08A6" w:rsidRPr="00EE08A6" w:rsidRDefault="00EE08A6" w:rsidP="00EE08A6">
      <w:pPr>
        <w:rPr>
          <w:rFonts w:ascii="Calibri" w:hAnsi="Calibri" w:cs="Calibri"/>
        </w:rPr>
      </w:pPr>
    </w:p>
    <w:p w:rsidR="00EE08A6" w:rsidRPr="00EE08A6" w:rsidRDefault="00EE08A6" w:rsidP="00EE08A6">
      <w:pPr>
        <w:rPr>
          <w:rFonts w:ascii="Calibri" w:hAnsi="Calibri" w:cs="Calibri"/>
        </w:rPr>
      </w:pPr>
      <w:r w:rsidRPr="00EE08A6">
        <w:rPr>
          <w:rFonts w:ascii="Calibri" w:hAnsi="Calibri" w:cs="Calibri"/>
        </w:rPr>
        <w:t>Following a COVID-19 positive test result or diagnosis, we are prohibited from testing you again for at least 90 days.</w:t>
      </w:r>
    </w:p>
    <w:p w:rsidR="00EE08A6" w:rsidRPr="00EE08A6" w:rsidRDefault="00EE08A6" w:rsidP="00EE08A6">
      <w:pPr>
        <w:rPr>
          <w:rFonts w:ascii="Calibri" w:hAnsi="Calibri" w:cs="Calibri"/>
        </w:rPr>
      </w:pPr>
      <w:r w:rsidRPr="00EE08A6">
        <w:rPr>
          <w:rFonts w:ascii="Calibri" w:hAnsi="Calibri" w:cs="Calibri"/>
        </w:rPr>
        <w:t xml:space="preserve">[INSERT ADDITIONAL SPECIFIC EMPLOYER POLICY INFORMATION] </w:t>
      </w:r>
    </w:p>
    <w:p w:rsidR="00324FCD" w:rsidRDefault="00324FCD">
      <w:pPr>
        <w:rPr>
          <w:rFonts w:ascii="Calibri" w:eastAsiaTheme="minorEastAsia" w:hAnsi="Calibri"/>
          <w:b/>
          <w:bCs/>
          <w:kern w:val="24"/>
          <w:sz w:val="24"/>
          <w:szCs w:val="24"/>
        </w:rPr>
      </w:pPr>
    </w:p>
    <w:p w:rsidR="00EE08A6" w:rsidRPr="00227A94" w:rsidRDefault="00EE08A6" w:rsidP="00227A94">
      <w:pPr>
        <w:pStyle w:val="Heading2"/>
      </w:pPr>
      <w:r w:rsidRPr="00227A94">
        <w:t>COMPLIANCE</w:t>
      </w:r>
    </w:p>
    <w:p w:rsidR="00EE08A6" w:rsidRDefault="00EE08A6" w:rsidP="00EE08A6">
      <w:r>
        <w:t xml:space="preserve">All staff should be fully vaccinated with their records submitted or have an approved exemption with our human resources team by January 4, 2022.  Those who do not have those in place will not be eligible to work until they are submitted and approved.  </w:t>
      </w:r>
    </w:p>
    <w:p w:rsidR="00EE08A6" w:rsidRDefault="00EE08A6" w:rsidP="00EE08A6">
      <w:r>
        <w:t xml:space="preserve">Please note that these temporary rules are being applied to meet the OSHA ETS requirements and are being done in a non-discriminatory fashion.  You should note that there are criminal penalties for making false statements or providing false documentation. </w:t>
      </w:r>
    </w:p>
    <w:p w:rsidR="00EE08A6" w:rsidRPr="00377712" w:rsidRDefault="00EE08A6" w:rsidP="00EE08A6">
      <w:pPr>
        <w:rPr>
          <w:b/>
          <w:i/>
        </w:rPr>
      </w:pPr>
      <w:r w:rsidRPr="00377712">
        <w:rPr>
          <w:b/>
          <w:i/>
        </w:rPr>
        <w:t>You may request your records related to this policy at any time.  We are required to provide you with those records by the end of the following business day after your request.</w:t>
      </w:r>
    </w:p>
    <w:p w:rsidR="00EE08A6" w:rsidRDefault="00EE08A6" w:rsidP="00EE08A6">
      <w:r>
        <w:t xml:space="preserve">We understand these new rules may cause inconvenience, however we are taking necessary steps to comply with this ETS designed to combat the pandemic.  We want to ensure that you and your co-workers continue to have a safety workplace, even during these difficult times.  Please reach out to our [INSERT CONTACT PERSON/TEAM] with any questions or concerns you may have.  </w:t>
      </w:r>
    </w:p>
    <w:p w:rsidR="00B1799E" w:rsidRDefault="00EE08A6" w:rsidP="006E79C5">
      <w:r>
        <w:t xml:space="preserve">[NAME] </w:t>
      </w:r>
    </w:p>
    <w:sectPr w:rsidR="00B1799E" w:rsidSect="00D7713A">
      <w:pgSz w:w="12240" w:h="15840" w:code="1"/>
      <w:pgMar w:top="1440" w:right="1152" w:bottom="1260" w:left="1152"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CAD" w:rsidRDefault="00C10CAD" w:rsidP="003E2C09">
      <w:pPr>
        <w:spacing w:after="0" w:line="240" w:lineRule="auto"/>
      </w:pPr>
      <w:r>
        <w:separator/>
      </w:r>
    </w:p>
  </w:endnote>
  <w:endnote w:type="continuationSeparator" w:id="0">
    <w:p w:rsidR="00C10CAD" w:rsidRDefault="00C10CAD" w:rsidP="003E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CAD" w:rsidRDefault="00C10CAD" w:rsidP="003E2C09">
      <w:pPr>
        <w:spacing w:after="0" w:line="240" w:lineRule="auto"/>
      </w:pPr>
      <w:r>
        <w:separator/>
      </w:r>
    </w:p>
  </w:footnote>
  <w:footnote w:type="continuationSeparator" w:id="0">
    <w:p w:rsidR="00C10CAD" w:rsidRDefault="00C10CAD" w:rsidP="003E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F46"/>
    <w:multiLevelType w:val="hybridMultilevel"/>
    <w:tmpl w:val="36247A5C"/>
    <w:lvl w:ilvl="0" w:tplc="AE48A35C">
      <w:start w:val="1"/>
      <w:numFmt w:val="bullet"/>
      <w:pStyle w:val="List3"/>
      <w:lvlText w:val="o"/>
      <w:lvlJc w:val="left"/>
      <w:pPr>
        <w:tabs>
          <w:tab w:val="num" w:pos="1080"/>
        </w:tabs>
        <w:ind w:left="1080" w:hanging="360"/>
      </w:pPr>
      <w:rPr>
        <w:rFonts w:ascii="Courier New" w:hAnsi="Courier New" w:cs="Courier New" w:hint="default"/>
        <w:color w:val="5F6466" w:themeColor="text1"/>
        <w:sz w:val="20"/>
      </w:rPr>
    </w:lvl>
    <w:lvl w:ilvl="1" w:tplc="61D6A854">
      <w:start w:val="1"/>
      <w:numFmt w:val="bullet"/>
      <w:lvlText w:val=""/>
      <w:lvlJc w:val="left"/>
      <w:pPr>
        <w:tabs>
          <w:tab w:val="num" w:pos="1800"/>
        </w:tabs>
        <w:ind w:left="1800" w:hanging="360"/>
      </w:pPr>
      <w:rPr>
        <w:rFonts w:ascii="Wingdings" w:hAnsi="Wingdings" w:hint="default"/>
      </w:rPr>
    </w:lvl>
    <w:lvl w:ilvl="2" w:tplc="21FABF28">
      <w:start w:val="1"/>
      <w:numFmt w:val="bullet"/>
      <w:lvlText w:val=""/>
      <w:lvlJc w:val="left"/>
      <w:pPr>
        <w:tabs>
          <w:tab w:val="num" w:pos="2520"/>
        </w:tabs>
        <w:ind w:left="2520" w:hanging="360"/>
      </w:pPr>
      <w:rPr>
        <w:rFonts w:ascii="Wingdings" w:hAnsi="Wingdings" w:hint="default"/>
      </w:rPr>
    </w:lvl>
    <w:lvl w:ilvl="3" w:tplc="FD9E4E06" w:tentative="1">
      <w:start w:val="1"/>
      <w:numFmt w:val="bullet"/>
      <w:lvlText w:val=""/>
      <w:lvlJc w:val="left"/>
      <w:pPr>
        <w:tabs>
          <w:tab w:val="num" w:pos="3240"/>
        </w:tabs>
        <w:ind w:left="3240" w:hanging="360"/>
      </w:pPr>
      <w:rPr>
        <w:rFonts w:ascii="Wingdings" w:hAnsi="Wingdings" w:hint="default"/>
      </w:rPr>
    </w:lvl>
    <w:lvl w:ilvl="4" w:tplc="89C601C8" w:tentative="1">
      <w:start w:val="1"/>
      <w:numFmt w:val="bullet"/>
      <w:lvlText w:val=""/>
      <w:lvlJc w:val="left"/>
      <w:pPr>
        <w:tabs>
          <w:tab w:val="num" w:pos="3960"/>
        </w:tabs>
        <w:ind w:left="3960" w:hanging="360"/>
      </w:pPr>
      <w:rPr>
        <w:rFonts w:ascii="Wingdings" w:hAnsi="Wingdings" w:hint="default"/>
      </w:rPr>
    </w:lvl>
    <w:lvl w:ilvl="5" w:tplc="D8BA1B32" w:tentative="1">
      <w:start w:val="1"/>
      <w:numFmt w:val="bullet"/>
      <w:lvlText w:val=""/>
      <w:lvlJc w:val="left"/>
      <w:pPr>
        <w:tabs>
          <w:tab w:val="num" w:pos="4680"/>
        </w:tabs>
        <w:ind w:left="4680" w:hanging="360"/>
      </w:pPr>
      <w:rPr>
        <w:rFonts w:ascii="Wingdings" w:hAnsi="Wingdings" w:hint="default"/>
      </w:rPr>
    </w:lvl>
    <w:lvl w:ilvl="6" w:tplc="909059FA" w:tentative="1">
      <w:start w:val="1"/>
      <w:numFmt w:val="bullet"/>
      <w:lvlText w:val=""/>
      <w:lvlJc w:val="left"/>
      <w:pPr>
        <w:tabs>
          <w:tab w:val="num" w:pos="5400"/>
        </w:tabs>
        <w:ind w:left="5400" w:hanging="360"/>
      </w:pPr>
      <w:rPr>
        <w:rFonts w:ascii="Wingdings" w:hAnsi="Wingdings" w:hint="default"/>
      </w:rPr>
    </w:lvl>
    <w:lvl w:ilvl="7" w:tplc="64CC6DF6" w:tentative="1">
      <w:start w:val="1"/>
      <w:numFmt w:val="bullet"/>
      <w:lvlText w:val=""/>
      <w:lvlJc w:val="left"/>
      <w:pPr>
        <w:tabs>
          <w:tab w:val="num" w:pos="6120"/>
        </w:tabs>
        <w:ind w:left="6120" w:hanging="360"/>
      </w:pPr>
      <w:rPr>
        <w:rFonts w:ascii="Wingdings" w:hAnsi="Wingdings" w:hint="default"/>
      </w:rPr>
    </w:lvl>
    <w:lvl w:ilvl="8" w:tplc="FF18C37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E3A2BFF"/>
    <w:multiLevelType w:val="hybridMultilevel"/>
    <w:tmpl w:val="8EDCF920"/>
    <w:lvl w:ilvl="0" w:tplc="C402305A">
      <w:start w:val="1"/>
      <w:numFmt w:val="bullet"/>
      <w:pStyle w:val="List"/>
      <w:lvlText w:val=""/>
      <w:lvlJc w:val="left"/>
      <w:pPr>
        <w:tabs>
          <w:tab w:val="num" w:pos="720"/>
        </w:tabs>
        <w:ind w:left="720" w:hanging="360"/>
      </w:pPr>
      <w:rPr>
        <w:rFonts w:ascii="Wingdings" w:hAnsi="Wingdings" w:hint="default"/>
        <w:color w:val="5F6466" w:themeColor="text1"/>
      </w:rPr>
    </w:lvl>
    <w:lvl w:ilvl="1" w:tplc="AD66BFDC">
      <w:start w:val="1"/>
      <w:numFmt w:val="bullet"/>
      <w:lvlText w:val=""/>
      <w:lvlJc w:val="left"/>
      <w:pPr>
        <w:tabs>
          <w:tab w:val="num" w:pos="1440"/>
        </w:tabs>
        <w:ind w:left="1440" w:hanging="360"/>
      </w:pPr>
      <w:rPr>
        <w:rFonts w:ascii="Wingdings" w:hAnsi="Wingdings" w:hint="default"/>
      </w:rPr>
    </w:lvl>
    <w:lvl w:ilvl="2" w:tplc="21FABF28">
      <w:start w:val="1"/>
      <w:numFmt w:val="bullet"/>
      <w:lvlText w:val="o"/>
      <w:lvlJc w:val="left"/>
      <w:pPr>
        <w:tabs>
          <w:tab w:val="num" w:pos="2160"/>
        </w:tabs>
        <w:ind w:left="2160" w:hanging="360"/>
      </w:pPr>
      <w:rPr>
        <w:rFonts w:ascii="Courier New" w:hAnsi="Courier New" w:cs="Courier New"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327A9"/>
    <w:multiLevelType w:val="hybridMultilevel"/>
    <w:tmpl w:val="75B62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C7417"/>
    <w:multiLevelType w:val="hybridMultilevel"/>
    <w:tmpl w:val="DA3A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360ED"/>
    <w:multiLevelType w:val="hybridMultilevel"/>
    <w:tmpl w:val="69488F98"/>
    <w:lvl w:ilvl="0" w:tplc="4BAEA7CA">
      <w:start w:val="1"/>
      <w:numFmt w:val="bullet"/>
      <w:lvlText w:val=""/>
      <w:lvlJc w:val="left"/>
      <w:pPr>
        <w:tabs>
          <w:tab w:val="num" w:pos="720"/>
        </w:tabs>
        <w:ind w:left="720" w:hanging="360"/>
      </w:pPr>
      <w:rPr>
        <w:rFonts w:ascii="Wingdings" w:hAnsi="Wingdings" w:hint="default"/>
      </w:rPr>
    </w:lvl>
    <w:lvl w:ilvl="1" w:tplc="A26A38CA">
      <w:start w:val="29"/>
      <w:numFmt w:val="bullet"/>
      <w:lvlText w:val="o"/>
      <w:lvlJc w:val="left"/>
      <w:pPr>
        <w:tabs>
          <w:tab w:val="num" w:pos="1440"/>
        </w:tabs>
        <w:ind w:left="1440" w:hanging="360"/>
      </w:pPr>
      <w:rPr>
        <w:rFonts w:ascii="Courier New" w:hAnsi="Courier New" w:hint="default"/>
      </w:rPr>
    </w:lvl>
    <w:lvl w:ilvl="2" w:tplc="126C1254" w:tentative="1">
      <w:start w:val="1"/>
      <w:numFmt w:val="bullet"/>
      <w:lvlText w:val=""/>
      <w:lvlJc w:val="left"/>
      <w:pPr>
        <w:tabs>
          <w:tab w:val="num" w:pos="2160"/>
        </w:tabs>
        <w:ind w:left="2160" w:hanging="360"/>
      </w:pPr>
      <w:rPr>
        <w:rFonts w:ascii="Wingdings" w:hAnsi="Wingdings" w:hint="default"/>
      </w:rPr>
    </w:lvl>
    <w:lvl w:ilvl="3" w:tplc="6686B0C4" w:tentative="1">
      <w:start w:val="1"/>
      <w:numFmt w:val="bullet"/>
      <w:lvlText w:val=""/>
      <w:lvlJc w:val="left"/>
      <w:pPr>
        <w:tabs>
          <w:tab w:val="num" w:pos="2880"/>
        </w:tabs>
        <w:ind w:left="2880" w:hanging="360"/>
      </w:pPr>
      <w:rPr>
        <w:rFonts w:ascii="Wingdings" w:hAnsi="Wingdings" w:hint="default"/>
      </w:rPr>
    </w:lvl>
    <w:lvl w:ilvl="4" w:tplc="E5BC12B2" w:tentative="1">
      <w:start w:val="1"/>
      <w:numFmt w:val="bullet"/>
      <w:lvlText w:val=""/>
      <w:lvlJc w:val="left"/>
      <w:pPr>
        <w:tabs>
          <w:tab w:val="num" w:pos="3600"/>
        </w:tabs>
        <w:ind w:left="3600" w:hanging="360"/>
      </w:pPr>
      <w:rPr>
        <w:rFonts w:ascii="Wingdings" w:hAnsi="Wingdings" w:hint="default"/>
      </w:rPr>
    </w:lvl>
    <w:lvl w:ilvl="5" w:tplc="82F0AA2E" w:tentative="1">
      <w:start w:val="1"/>
      <w:numFmt w:val="bullet"/>
      <w:lvlText w:val=""/>
      <w:lvlJc w:val="left"/>
      <w:pPr>
        <w:tabs>
          <w:tab w:val="num" w:pos="4320"/>
        </w:tabs>
        <w:ind w:left="4320" w:hanging="360"/>
      </w:pPr>
      <w:rPr>
        <w:rFonts w:ascii="Wingdings" w:hAnsi="Wingdings" w:hint="default"/>
      </w:rPr>
    </w:lvl>
    <w:lvl w:ilvl="6" w:tplc="1512D660" w:tentative="1">
      <w:start w:val="1"/>
      <w:numFmt w:val="bullet"/>
      <w:lvlText w:val=""/>
      <w:lvlJc w:val="left"/>
      <w:pPr>
        <w:tabs>
          <w:tab w:val="num" w:pos="5040"/>
        </w:tabs>
        <w:ind w:left="5040" w:hanging="360"/>
      </w:pPr>
      <w:rPr>
        <w:rFonts w:ascii="Wingdings" w:hAnsi="Wingdings" w:hint="default"/>
      </w:rPr>
    </w:lvl>
    <w:lvl w:ilvl="7" w:tplc="DCCAC780" w:tentative="1">
      <w:start w:val="1"/>
      <w:numFmt w:val="bullet"/>
      <w:lvlText w:val=""/>
      <w:lvlJc w:val="left"/>
      <w:pPr>
        <w:tabs>
          <w:tab w:val="num" w:pos="5760"/>
        </w:tabs>
        <w:ind w:left="5760" w:hanging="360"/>
      </w:pPr>
      <w:rPr>
        <w:rFonts w:ascii="Wingdings" w:hAnsi="Wingdings" w:hint="default"/>
      </w:rPr>
    </w:lvl>
    <w:lvl w:ilvl="8" w:tplc="046850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F1622"/>
    <w:multiLevelType w:val="hybridMultilevel"/>
    <w:tmpl w:val="656C3A00"/>
    <w:lvl w:ilvl="0" w:tplc="787EE7EC">
      <w:start w:val="1"/>
      <w:numFmt w:val="bullet"/>
      <w:pStyle w:val="List2"/>
      <w:lvlText w:val=""/>
      <w:lvlJc w:val="left"/>
      <w:pPr>
        <w:tabs>
          <w:tab w:val="num" w:pos="720"/>
        </w:tabs>
        <w:ind w:left="720" w:hanging="360"/>
      </w:pPr>
      <w:rPr>
        <w:rFonts w:ascii="Symbol" w:hAnsi="Symbol" w:hint="default"/>
        <w:color w:val="5F6466" w:themeColor="text1"/>
        <w:sz w:val="20"/>
      </w:rPr>
    </w:lvl>
    <w:lvl w:ilvl="1" w:tplc="61D6A854">
      <w:start w:val="1"/>
      <w:numFmt w:val="bullet"/>
      <w:lvlText w:val=""/>
      <w:lvlJc w:val="left"/>
      <w:pPr>
        <w:tabs>
          <w:tab w:val="num" w:pos="1440"/>
        </w:tabs>
        <w:ind w:left="1440" w:hanging="360"/>
      </w:pPr>
      <w:rPr>
        <w:rFonts w:ascii="Wingdings" w:hAnsi="Wingdings" w:hint="default"/>
      </w:rPr>
    </w:lvl>
    <w:lvl w:ilvl="2" w:tplc="21FABF28">
      <w:start w:val="1"/>
      <w:numFmt w:val="bullet"/>
      <w:lvlText w:val=""/>
      <w:lvlJc w:val="left"/>
      <w:pPr>
        <w:tabs>
          <w:tab w:val="num" w:pos="2160"/>
        </w:tabs>
        <w:ind w:left="2160" w:hanging="360"/>
      </w:pPr>
      <w:rPr>
        <w:rFonts w:ascii="Wingdings" w:hAnsi="Wingdings"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BD2A5C"/>
    <w:multiLevelType w:val="hybridMultilevel"/>
    <w:tmpl w:val="8520A5C6"/>
    <w:lvl w:ilvl="0" w:tplc="45207002">
      <w:start w:val="1"/>
      <w:numFmt w:val="bullet"/>
      <w:lvlText w:val=""/>
      <w:lvlJc w:val="left"/>
      <w:pPr>
        <w:tabs>
          <w:tab w:val="num" w:pos="720"/>
        </w:tabs>
        <w:ind w:left="720" w:hanging="360"/>
      </w:pPr>
      <w:rPr>
        <w:rFonts w:ascii="Wingdings" w:hAnsi="Wingdings" w:hint="default"/>
      </w:rPr>
    </w:lvl>
    <w:lvl w:ilvl="1" w:tplc="8F2C2C98" w:tentative="1">
      <w:start w:val="1"/>
      <w:numFmt w:val="bullet"/>
      <w:lvlText w:val=""/>
      <w:lvlJc w:val="left"/>
      <w:pPr>
        <w:tabs>
          <w:tab w:val="num" w:pos="1440"/>
        </w:tabs>
        <w:ind w:left="1440" w:hanging="360"/>
      </w:pPr>
      <w:rPr>
        <w:rFonts w:ascii="Wingdings" w:hAnsi="Wingdings" w:hint="default"/>
      </w:rPr>
    </w:lvl>
    <w:lvl w:ilvl="2" w:tplc="370E87C0" w:tentative="1">
      <w:start w:val="1"/>
      <w:numFmt w:val="bullet"/>
      <w:lvlText w:val=""/>
      <w:lvlJc w:val="left"/>
      <w:pPr>
        <w:tabs>
          <w:tab w:val="num" w:pos="2160"/>
        </w:tabs>
        <w:ind w:left="2160" w:hanging="360"/>
      </w:pPr>
      <w:rPr>
        <w:rFonts w:ascii="Wingdings" w:hAnsi="Wingdings" w:hint="default"/>
      </w:rPr>
    </w:lvl>
    <w:lvl w:ilvl="3" w:tplc="567AF44E" w:tentative="1">
      <w:start w:val="1"/>
      <w:numFmt w:val="bullet"/>
      <w:lvlText w:val=""/>
      <w:lvlJc w:val="left"/>
      <w:pPr>
        <w:tabs>
          <w:tab w:val="num" w:pos="2880"/>
        </w:tabs>
        <w:ind w:left="2880" w:hanging="360"/>
      </w:pPr>
      <w:rPr>
        <w:rFonts w:ascii="Wingdings" w:hAnsi="Wingdings" w:hint="default"/>
      </w:rPr>
    </w:lvl>
    <w:lvl w:ilvl="4" w:tplc="F4CAA00C" w:tentative="1">
      <w:start w:val="1"/>
      <w:numFmt w:val="bullet"/>
      <w:lvlText w:val=""/>
      <w:lvlJc w:val="left"/>
      <w:pPr>
        <w:tabs>
          <w:tab w:val="num" w:pos="3600"/>
        </w:tabs>
        <w:ind w:left="3600" w:hanging="360"/>
      </w:pPr>
      <w:rPr>
        <w:rFonts w:ascii="Wingdings" w:hAnsi="Wingdings" w:hint="default"/>
      </w:rPr>
    </w:lvl>
    <w:lvl w:ilvl="5" w:tplc="655C0728" w:tentative="1">
      <w:start w:val="1"/>
      <w:numFmt w:val="bullet"/>
      <w:lvlText w:val=""/>
      <w:lvlJc w:val="left"/>
      <w:pPr>
        <w:tabs>
          <w:tab w:val="num" w:pos="4320"/>
        </w:tabs>
        <w:ind w:left="4320" w:hanging="360"/>
      </w:pPr>
      <w:rPr>
        <w:rFonts w:ascii="Wingdings" w:hAnsi="Wingdings" w:hint="default"/>
      </w:rPr>
    </w:lvl>
    <w:lvl w:ilvl="6" w:tplc="E362C5EA" w:tentative="1">
      <w:start w:val="1"/>
      <w:numFmt w:val="bullet"/>
      <w:lvlText w:val=""/>
      <w:lvlJc w:val="left"/>
      <w:pPr>
        <w:tabs>
          <w:tab w:val="num" w:pos="5040"/>
        </w:tabs>
        <w:ind w:left="5040" w:hanging="360"/>
      </w:pPr>
      <w:rPr>
        <w:rFonts w:ascii="Wingdings" w:hAnsi="Wingdings" w:hint="default"/>
      </w:rPr>
    </w:lvl>
    <w:lvl w:ilvl="7" w:tplc="3F040E26" w:tentative="1">
      <w:start w:val="1"/>
      <w:numFmt w:val="bullet"/>
      <w:lvlText w:val=""/>
      <w:lvlJc w:val="left"/>
      <w:pPr>
        <w:tabs>
          <w:tab w:val="num" w:pos="5760"/>
        </w:tabs>
        <w:ind w:left="5760" w:hanging="360"/>
      </w:pPr>
      <w:rPr>
        <w:rFonts w:ascii="Wingdings" w:hAnsi="Wingdings" w:hint="default"/>
      </w:rPr>
    </w:lvl>
    <w:lvl w:ilvl="8" w:tplc="36D603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A7364"/>
    <w:multiLevelType w:val="hybridMultilevel"/>
    <w:tmpl w:val="3E801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6"/>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5"/>
  </w:num>
  <w:num w:numId="12">
    <w:abstractNumId w:val="0"/>
  </w:num>
  <w:num w:numId="13">
    <w:abstractNumId w:val="1"/>
  </w:num>
  <w:num w:numId="14">
    <w:abstractNumId w:val="5"/>
  </w:num>
  <w:num w:numId="15">
    <w:abstractNumId w:val="0"/>
  </w:num>
  <w:num w:numId="16">
    <w:abstractNumId w:val="1"/>
  </w:num>
  <w:num w:numId="17">
    <w:abstractNumId w:val="5"/>
  </w:num>
  <w:num w:numId="18">
    <w:abstractNumId w:val="0"/>
  </w:num>
  <w:num w:numId="19">
    <w:abstractNumId w:val="1"/>
  </w:num>
  <w:num w:numId="20">
    <w:abstractNumId w:val="5"/>
  </w:num>
  <w:num w:numId="21">
    <w:abstractNumId w:val="0"/>
  </w:num>
  <w:num w:numId="22">
    <w:abstractNumId w:val="1"/>
  </w:num>
  <w:num w:numId="23">
    <w:abstractNumId w:val="5"/>
  </w:num>
  <w:num w:numId="24">
    <w:abstractNumId w:val="0"/>
  </w:num>
  <w:num w:numId="25">
    <w:abstractNumId w:val="3"/>
  </w:num>
  <w:num w:numId="26">
    <w:abstractNumId w:val="2"/>
  </w:num>
  <w:num w:numId="27">
    <w:abstractNumId w:val="7"/>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A3"/>
    <w:rsid w:val="000567A2"/>
    <w:rsid w:val="000870FD"/>
    <w:rsid w:val="000903EB"/>
    <w:rsid w:val="0019467B"/>
    <w:rsid w:val="001977B8"/>
    <w:rsid w:val="00227A94"/>
    <w:rsid w:val="002F2AFA"/>
    <w:rsid w:val="00324FCD"/>
    <w:rsid w:val="00351240"/>
    <w:rsid w:val="00353A63"/>
    <w:rsid w:val="003E2C09"/>
    <w:rsid w:val="003F20A3"/>
    <w:rsid w:val="00403D8A"/>
    <w:rsid w:val="004107B4"/>
    <w:rsid w:val="004252F9"/>
    <w:rsid w:val="00432B99"/>
    <w:rsid w:val="00571350"/>
    <w:rsid w:val="00600E82"/>
    <w:rsid w:val="00682BC7"/>
    <w:rsid w:val="0069593F"/>
    <w:rsid w:val="006C2099"/>
    <w:rsid w:val="006D0462"/>
    <w:rsid w:val="006E79C5"/>
    <w:rsid w:val="00701B53"/>
    <w:rsid w:val="00703E76"/>
    <w:rsid w:val="0079735E"/>
    <w:rsid w:val="00817D99"/>
    <w:rsid w:val="00866B7B"/>
    <w:rsid w:val="00885CBC"/>
    <w:rsid w:val="008A3B59"/>
    <w:rsid w:val="008D51E2"/>
    <w:rsid w:val="009055A7"/>
    <w:rsid w:val="00937D8A"/>
    <w:rsid w:val="009A33C2"/>
    <w:rsid w:val="009A3CF3"/>
    <w:rsid w:val="009C0DB1"/>
    <w:rsid w:val="00A45FCB"/>
    <w:rsid w:val="00A5518D"/>
    <w:rsid w:val="00AA3A11"/>
    <w:rsid w:val="00AA7999"/>
    <w:rsid w:val="00B12A3B"/>
    <w:rsid w:val="00B1799E"/>
    <w:rsid w:val="00BB4B45"/>
    <w:rsid w:val="00BC2C7F"/>
    <w:rsid w:val="00BC6C42"/>
    <w:rsid w:val="00C10CAD"/>
    <w:rsid w:val="00C143DD"/>
    <w:rsid w:val="00C42D99"/>
    <w:rsid w:val="00CA76FD"/>
    <w:rsid w:val="00D048E7"/>
    <w:rsid w:val="00D352AD"/>
    <w:rsid w:val="00D35EA3"/>
    <w:rsid w:val="00D7713A"/>
    <w:rsid w:val="00D8599C"/>
    <w:rsid w:val="00DB2A90"/>
    <w:rsid w:val="00DB7548"/>
    <w:rsid w:val="00DD3854"/>
    <w:rsid w:val="00E36CB1"/>
    <w:rsid w:val="00E5694B"/>
    <w:rsid w:val="00EE08A6"/>
    <w:rsid w:val="00FA17A3"/>
    <w:rsid w:val="00FA19FE"/>
    <w:rsid w:val="00FF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1F9E6"/>
  <w15:chartTrackingRefBased/>
  <w15:docId w15:val="{BFAFC1FD-8BB3-4952-A0DE-902E2527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8A"/>
    <w:rPr>
      <w:color w:val="5F6466" w:themeColor="text1"/>
    </w:rPr>
  </w:style>
  <w:style w:type="paragraph" w:styleId="Heading1">
    <w:name w:val="heading 1"/>
    <w:basedOn w:val="NormalWeb"/>
    <w:next w:val="Normal"/>
    <w:link w:val="Heading1Char"/>
    <w:uiPriority w:val="9"/>
    <w:qFormat/>
    <w:rsid w:val="00403D8A"/>
    <w:pPr>
      <w:keepNext/>
      <w:keepLines/>
      <w:spacing w:before="0" w:beforeAutospacing="0" w:after="440" w:afterAutospacing="0"/>
      <w:outlineLvl w:val="0"/>
    </w:pPr>
    <w:rPr>
      <w:rFonts w:ascii="Calibri" w:eastAsiaTheme="majorEastAsia" w:hAnsi="Calibri" w:cs="Calibri"/>
      <w:caps/>
      <w:color w:val="D87706" w:themeColor="accent1" w:themeShade="BF"/>
      <w:kern w:val="24"/>
      <w:sz w:val="36"/>
      <w:szCs w:val="36"/>
    </w:rPr>
  </w:style>
  <w:style w:type="paragraph" w:styleId="Heading2">
    <w:name w:val="heading 2"/>
    <w:basedOn w:val="NormalWeb"/>
    <w:next w:val="Normal"/>
    <w:link w:val="Heading2Char"/>
    <w:uiPriority w:val="9"/>
    <w:unhideWhenUsed/>
    <w:qFormat/>
    <w:rsid w:val="00403D8A"/>
    <w:pPr>
      <w:keepNext/>
      <w:keepLines/>
      <w:spacing w:before="0" w:beforeAutospacing="0" w:after="240" w:afterAutospacing="0"/>
      <w:outlineLvl w:val="1"/>
    </w:pPr>
    <w:rPr>
      <w:rFonts w:ascii="Calibri" w:hAnsi="Calibri" w:cstheme="minorBidi"/>
      <w:b/>
      <w:bCs/>
      <w:kern w:val="24"/>
    </w:rPr>
  </w:style>
  <w:style w:type="paragraph" w:styleId="Heading3">
    <w:name w:val="heading 3"/>
    <w:basedOn w:val="Normal"/>
    <w:next w:val="Normal"/>
    <w:link w:val="Heading3Char"/>
    <w:uiPriority w:val="9"/>
    <w:unhideWhenUsed/>
    <w:qFormat/>
    <w:rsid w:val="00403D8A"/>
    <w:pPr>
      <w:keepNext/>
      <w:keepLines/>
      <w:spacing w:after="45" w:line="276" w:lineRule="auto"/>
      <w:outlineLvl w:val="2"/>
    </w:pPr>
    <w:rPr>
      <w:rFonts w:eastAsiaTheme="minorEastAsia"/>
      <w:b/>
      <w:bCs/>
      <w:color w:val="232F84" w:themeColor="text2"/>
      <w:kern w:val="24"/>
    </w:rPr>
  </w:style>
  <w:style w:type="paragraph" w:styleId="Heading4">
    <w:name w:val="heading 4"/>
    <w:basedOn w:val="Normal"/>
    <w:next w:val="Normal"/>
    <w:link w:val="Heading4Char"/>
    <w:uiPriority w:val="9"/>
    <w:unhideWhenUsed/>
    <w:qFormat/>
    <w:rsid w:val="00E5694B"/>
    <w:pPr>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5694B"/>
    <w:pPr>
      <w:spacing w:after="120" w:line="480" w:lineRule="auto"/>
    </w:pPr>
  </w:style>
  <w:style w:type="character" w:customStyle="1" w:styleId="BodyText2Char">
    <w:name w:val="Body Text 2 Char"/>
    <w:basedOn w:val="DefaultParagraphFont"/>
    <w:link w:val="BodyText2"/>
    <w:uiPriority w:val="99"/>
    <w:semiHidden/>
    <w:rsid w:val="00E5694B"/>
  </w:style>
  <w:style w:type="paragraph" w:customStyle="1" w:styleId="TableText">
    <w:name w:val="Table Text"/>
    <w:basedOn w:val="BodyText2"/>
    <w:link w:val="TableTextChar"/>
    <w:rsid w:val="00E5694B"/>
    <w:pPr>
      <w:spacing w:after="0" w:line="276" w:lineRule="auto"/>
    </w:pPr>
    <w:rPr>
      <w:kern w:val="24"/>
    </w:rPr>
  </w:style>
  <w:style w:type="character" w:customStyle="1" w:styleId="TableTextChar">
    <w:name w:val="Table Text Char"/>
    <w:basedOn w:val="DefaultParagraphFont"/>
    <w:link w:val="TableText"/>
    <w:rsid w:val="00E5694B"/>
    <w:rPr>
      <w:color w:val="5F6466" w:themeColor="text1"/>
      <w:kern w:val="24"/>
    </w:rPr>
  </w:style>
  <w:style w:type="paragraph" w:styleId="BlockText">
    <w:name w:val="Block Text"/>
    <w:basedOn w:val="TableText"/>
    <w:uiPriority w:val="99"/>
    <w:unhideWhenUsed/>
    <w:rsid w:val="00E5694B"/>
  </w:style>
  <w:style w:type="paragraph" w:styleId="BodyText">
    <w:name w:val="Body Text"/>
    <w:basedOn w:val="Normal"/>
    <w:link w:val="BodyTextChar"/>
    <w:uiPriority w:val="99"/>
    <w:unhideWhenUsed/>
    <w:qFormat/>
    <w:rsid w:val="00403D8A"/>
    <w:pPr>
      <w:spacing w:after="0" w:line="276" w:lineRule="auto"/>
    </w:pPr>
    <w:rPr>
      <w:kern w:val="24"/>
    </w:rPr>
  </w:style>
  <w:style w:type="character" w:customStyle="1" w:styleId="BodyTextChar">
    <w:name w:val="Body Text Char"/>
    <w:basedOn w:val="DefaultParagraphFont"/>
    <w:link w:val="BodyText"/>
    <w:uiPriority w:val="99"/>
    <w:rsid w:val="00403D8A"/>
    <w:rPr>
      <w:color w:val="5F6466" w:themeColor="text1"/>
      <w:kern w:val="24"/>
    </w:rPr>
  </w:style>
  <w:style w:type="paragraph" w:styleId="Footer">
    <w:name w:val="footer"/>
    <w:basedOn w:val="Normal"/>
    <w:link w:val="FooterChar"/>
    <w:uiPriority w:val="99"/>
    <w:unhideWhenUsed/>
    <w:rsid w:val="0040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8A"/>
    <w:rPr>
      <w:color w:val="5F6466" w:themeColor="text1"/>
    </w:rPr>
  </w:style>
  <w:style w:type="paragraph" w:styleId="Header">
    <w:name w:val="header"/>
    <w:basedOn w:val="Normal"/>
    <w:link w:val="HeaderChar"/>
    <w:uiPriority w:val="99"/>
    <w:unhideWhenUsed/>
    <w:rsid w:val="0040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8A"/>
    <w:rPr>
      <w:color w:val="5F6466" w:themeColor="text1"/>
    </w:rPr>
  </w:style>
  <w:style w:type="paragraph" w:styleId="NormalWeb">
    <w:name w:val="Normal (Web)"/>
    <w:basedOn w:val="Normal"/>
    <w:uiPriority w:val="99"/>
    <w:semiHidden/>
    <w:unhideWhenUsed/>
    <w:rsid w:val="00403D8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03D8A"/>
    <w:pPr>
      <w:spacing w:after="0" w:line="240" w:lineRule="auto"/>
      <w:ind w:left="720"/>
      <w:contextualSpacing/>
    </w:pPr>
    <w:rPr>
      <w:rFonts w:ascii="Times New Roman" w:eastAsiaTheme="minorEastAsia" w:hAnsi="Times New Roman" w:cs="Times New Roman"/>
      <w:sz w:val="24"/>
      <w:szCs w:val="24"/>
    </w:rPr>
  </w:style>
  <w:style w:type="paragraph" w:styleId="List">
    <w:name w:val="List"/>
    <w:basedOn w:val="ListParagraph"/>
    <w:uiPriority w:val="99"/>
    <w:unhideWhenUsed/>
    <w:qFormat/>
    <w:rsid w:val="00403D8A"/>
    <w:pPr>
      <w:numPr>
        <w:numId w:val="22"/>
      </w:numPr>
    </w:pPr>
    <w:rPr>
      <w:rFonts w:asciiTheme="minorHAnsi" w:hAnsiTheme="minorHAnsi" w:cstheme="minorBidi"/>
      <w:kern w:val="24"/>
      <w:sz w:val="22"/>
      <w:szCs w:val="22"/>
    </w:rPr>
  </w:style>
  <w:style w:type="character" w:customStyle="1" w:styleId="Heading1Char">
    <w:name w:val="Heading 1 Char"/>
    <w:basedOn w:val="DefaultParagraphFont"/>
    <w:link w:val="Heading1"/>
    <w:uiPriority w:val="9"/>
    <w:rsid w:val="00403D8A"/>
    <w:rPr>
      <w:rFonts w:ascii="Calibri" w:eastAsiaTheme="majorEastAsia" w:hAnsi="Calibri" w:cs="Calibri"/>
      <w:caps/>
      <w:color w:val="D87706" w:themeColor="accent1" w:themeShade="BF"/>
      <w:kern w:val="24"/>
      <w:sz w:val="36"/>
      <w:szCs w:val="36"/>
    </w:rPr>
  </w:style>
  <w:style w:type="character" w:customStyle="1" w:styleId="Heading2Char">
    <w:name w:val="Heading 2 Char"/>
    <w:basedOn w:val="DefaultParagraphFont"/>
    <w:link w:val="Heading2"/>
    <w:uiPriority w:val="9"/>
    <w:rsid w:val="00403D8A"/>
    <w:rPr>
      <w:rFonts w:ascii="Calibri" w:eastAsiaTheme="minorEastAsia" w:hAnsi="Calibri"/>
      <w:b/>
      <w:bCs/>
      <w:color w:val="5F6466" w:themeColor="text1"/>
      <w:kern w:val="24"/>
      <w:sz w:val="24"/>
      <w:szCs w:val="24"/>
    </w:rPr>
  </w:style>
  <w:style w:type="character" w:customStyle="1" w:styleId="Heading3Char">
    <w:name w:val="Heading 3 Char"/>
    <w:basedOn w:val="DefaultParagraphFont"/>
    <w:link w:val="Heading3"/>
    <w:uiPriority w:val="9"/>
    <w:rsid w:val="00403D8A"/>
    <w:rPr>
      <w:rFonts w:eastAsiaTheme="minorEastAsia"/>
      <w:b/>
      <w:bCs/>
      <w:color w:val="232F84" w:themeColor="text2"/>
      <w:kern w:val="24"/>
    </w:rPr>
  </w:style>
  <w:style w:type="character" w:customStyle="1" w:styleId="Heading4Char">
    <w:name w:val="Heading 4 Char"/>
    <w:basedOn w:val="DefaultParagraphFont"/>
    <w:link w:val="Heading4"/>
    <w:uiPriority w:val="9"/>
    <w:rsid w:val="00E5694B"/>
    <w:rPr>
      <w:b/>
      <w:color w:val="5F6466" w:themeColor="text1"/>
    </w:rPr>
  </w:style>
  <w:style w:type="paragraph" w:styleId="List2">
    <w:name w:val="List 2"/>
    <w:basedOn w:val="List"/>
    <w:uiPriority w:val="99"/>
    <w:unhideWhenUsed/>
    <w:qFormat/>
    <w:rsid w:val="00403D8A"/>
    <w:pPr>
      <w:numPr>
        <w:numId w:val="23"/>
      </w:numPr>
      <w:tabs>
        <w:tab w:val="clear" w:pos="720"/>
      </w:tabs>
    </w:pPr>
  </w:style>
  <w:style w:type="paragraph" w:styleId="List3">
    <w:name w:val="List 3"/>
    <w:basedOn w:val="List2"/>
    <w:uiPriority w:val="99"/>
    <w:unhideWhenUsed/>
    <w:qFormat/>
    <w:rsid w:val="00403D8A"/>
    <w:pPr>
      <w:numPr>
        <w:numId w:val="24"/>
      </w:numPr>
      <w:ind w:left="1008"/>
    </w:pPr>
  </w:style>
  <w:style w:type="paragraph" w:styleId="Title">
    <w:name w:val="Title"/>
    <w:basedOn w:val="Normal"/>
    <w:next w:val="Normal"/>
    <w:link w:val="TitleChar"/>
    <w:uiPriority w:val="10"/>
    <w:qFormat/>
    <w:rsid w:val="00E5694B"/>
    <w:pPr>
      <w:spacing w:after="0" w:line="480" w:lineRule="auto"/>
      <w:contextualSpacing/>
    </w:pPr>
    <w:rPr>
      <w:rFonts w:ascii="Calibri" w:eastAsiaTheme="majorEastAsia" w:hAnsi="Calibri" w:cstheme="majorBidi"/>
      <w:caps/>
      <w:color w:val="D87706" w:themeColor="accent1" w:themeShade="BF"/>
      <w:spacing w:val="-10"/>
      <w:kern w:val="28"/>
      <w:sz w:val="36"/>
      <w:szCs w:val="56"/>
    </w:rPr>
  </w:style>
  <w:style w:type="character" w:customStyle="1" w:styleId="TitleChar">
    <w:name w:val="Title Char"/>
    <w:basedOn w:val="DefaultParagraphFont"/>
    <w:link w:val="Title"/>
    <w:uiPriority w:val="10"/>
    <w:rsid w:val="00E5694B"/>
    <w:rPr>
      <w:rFonts w:ascii="Calibri" w:eastAsiaTheme="majorEastAsia" w:hAnsi="Calibri" w:cstheme="majorBidi"/>
      <w:caps/>
      <w:color w:val="D87706" w:themeColor="accent1" w:themeShade="BF"/>
      <w:spacing w:val="-10"/>
      <w:kern w:val="28"/>
      <w:sz w:val="36"/>
      <w:szCs w:val="56"/>
    </w:rPr>
  </w:style>
  <w:style w:type="paragraph" w:styleId="BalloonText">
    <w:name w:val="Balloon Text"/>
    <w:basedOn w:val="Normal"/>
    <w:link w:val="BalloonTextChar"/>
    <w:uiPriority w:val="99"/>
    <w:semiHidden/>
    <w:unhideWhenUsed/>
    <w:rsid w:val="0040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8A"/>
    <w:rPr>
      <w:rFonts w:ascii="Segoe UI" w:hAnsi="Segoe UI" w:cs="Segoe UI"/>
      <w:color w:val="5F6466" w:themeColor="text1"/>
      <w:sz w:val="18"/>
      <w:szCs w:val="18"/>
    </w:rPr>
  </w:style>
  <w:style w:type="character" w:styleId="BookTitle">
    <w:name w:val="Book Title"/>
    <w:basedOn w:val="DefaultParagraphFont"/>
    <w:uiPriority w:val="33"/>
    <w:qFormat/>
    <w:rsid w:val="00403D8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b\Downloads\Basic%20Document%20Template%20(19).dotx" TargetMode="External"/></Relationships>
</file>

<file path=word/theme/theme1.xml><?xml version="1.0" encoding="utf-8"?>
<a:theme xmlns:a="http://schemas.openxmlformats.org/drawingml/2006/main" name="M3 Theme_Word_2018">
  <a:themeElements>
    <a:clrScheme name="M3 Corporate_2017">
      <a:dk1>
        <a:srgbClr val="5F6466"/>
      </a:dk1>
      <a:lt1>
        <a:sysClr val="window" lastClr="FFFFFF"/>
      </a:lt1>
      <a:dk2>
        <a:srgbClr val="232F84"/>
      </a:dk2>
      <a:lt2>
        <a:srgbClr val="E4E5E6"/>
      </a:lt2>
      <a:accent1>
        <a:srgbClr val="F99D31"/>
      </a:accent1>
      <a:accent2>
        <a:srgbClr val="B9B098"/>
      </a:accent2>
      <a:accent3>
        <a:srgbClr val="E4E5E6"/>
      </a:accent3>
      <a:accent4>
        <a:srgbClr val="F15D2F"/>
      </a:accent4>
      <a:accent5>
        <a:srgbClr val="6E7276"/>
      </a:accent5>
      <a:accent6>
        <a:srgbClr val="D97806"/>
      </a:accent6>
      <a:hlink>
        <a:srgbClr val="F99D31"/>
      </a:hlink>
      <a:folHlink>
        <a:srgbClr val="232F84"/>
      </a:folHlink>
    </a:clrScheme>
    <a:fontScheme name="M3 Corporate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vert="horz" lIns="91440" tIns="45720" rIns="91440" bIns="45720" rtlCol="0" anchor="ctr">
        <a:normAutofit/>
      </a:bodyPr>
      <a:lstStyle>
        <a:defPPr algn="ctr">
          <a:spcAft>
            <a:spcPts val="300"/>
          </a:spcAft>
          <a:buClr>
            <a:schemeClr val="accent3">
              <a:lumMod val="75000"/>
            </a:schemeClr>
          </a:buClr>
          <a:buSzPct val="90000"/>
          <a:buFont typeface="Arial" pitchFamily="34" charset="0"/>
          <a:buNone/>
          <a:defRPr b="1">
            <a:solidFill>
              <a:schemeClr val="bg1"/>
            </a:solidFill>
          </a:defRPr>
        </a:defPPr>
      </a:lstStyle>
      <a:style>
        <a:lnRef idx="3">
          <a:schemeClr val="lt1"/>
        </a:lnRef>
        <a:fillRef idx="1">
          <a:schemeClr val="accent1"/>
        </a:fillRef>
        <a:effectRef idx="1">
          <a:schemeClr val="accent1"/>
        </a:effectRef>
        <a:fontRef idx="minor">
          <a:schemeClr val="lt1"/>
        </a:fontRef>
      </a:style>
    </a:spDef>
    <a:txDef>
      <a:spPr/>
      <a:bodyPr vert="horz" wrap="square" lIns="91440" tIns="45720" rIns="91440" bIns="45720" rtlCol="0">
        <a:normAutofit/>
      </a:bodyPr>
      <a:lstStyle>
        <a:defPPr marR="0" algn="l" defTabSz="914400" rtl="0" eaLnBrk="1" fontAlgn="auto" latinLnBrk="0" hangingPunct="1">
          <a:lnSpc>
            <a:spcPct val="85000"/>
          </a:lnSpc>
          <a:spcBef>
            <a:spcPts val="0"/>
          </a:spcBef>
          <a:spcAft>
            <a:spcPts val="600"/>
          </a:spcAft>
          <a:buClr>
            <a:schemeClr val="accent3"/>
          </a:buClr>
          <a:buSzPct val="90000"/>
          <a:tabLst/>
          <a:defRPr kumimoji="0" b="0" i="0" u="none" strike="noStrike" kern="1200" cap="none" spc="0" normalizeH="0" baseline="0" noProof="0" dirty="0" err="1" smtClean="0">
            <a:ln>
              <a:noFill/>
            </a:ln>
            <a:solidFill>
              <a:schemeClr val="bg2">
                <a:lumMod val="25000"/>
              </a:schemeClr>
            </a:solidFill>
            <a:effectLst/>
            <a:uLnTx/>
            <a:uFillTx/>
            <a:latin typeface="Calibri" pitchFamily="34" charset="0"/>
            <a:ea typeface="+mn-ea"/>
            <a:cs typeface="+mn-cs"/>
          </a:defRPr>
        </a:defPPr>
      </a:lstStyle>
    </a:txDef>
  </a:objectDefaults>
  <a:extraClrSchemeLst/>
  <a:extLst>
    <a:ext uri="{05A4C25C-085E-4340-85A3-A5531E510DB2}">
      <thm15:themeFamily xmlns:thm15="http://schemas.microsoft.com/office/thememl/2012/main" name="M3 Corporate Theme_2017" id="{DA25CB0A-A427-44BC-94F6-7535B7BBA3A4}" vid="{52A788BB-5114-40EF-B7EC-C7ACF5520F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7591-5FAB-4150-8BC4-E5F75980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Document Template (19).dotx</Template>
  <TotalTime>9</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Blankenship</dc:creator>
  <cp:keywords/>
  <dc:description/>
  <cp:lastModifiedBy>Stacy Pare</cp:lastModifiedBy>
  <cp:revision>11</cp:revision>
  <cp:lastPrinted>2017-12-06T21:51:00Z</cp:lastPrinted>
  <dcterms:created xsi:type="dcterms:W3CDTF">2021-11-11T19:21:00Z</dcterms:created>
  <dcterms:modified xsi:type="dcterms:W3CDTF">2021-11-12T13:58:00Z</dcterms:modified>
</cp:coreProperties>
</file>